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E4" w:rsidRPr="00454522" w:rsidRDefault="00614AE4" w:rsidP="00E31F4B">
      <w:pPr>
        <w:jc w:val="center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454522">
        <w:rPr>
          <w:rFonts w:ascii="Trebuchet MS" w:hAnsi="Trebuchet MS" w:cs="Times New Roman"/>
          <w:b/>
          <w:bCs/>
          <w:sz w:val="24"/>
          <w:szCs w:val="24"/>
        </w:rPr>
        <w:t>Fi</w:t>
      </w:r>
      <w:r w:rsidRPr="00454522">
        <w:rPr>
          <w:rFonts w:ascii="Trebuchet MS" w:hAnsi="Trebuchet MS" w:cs="Times New Roman"/>
          <w:b/>
          <w:bCs/>
          <w:sz w:val="24"/>
          <w:szCs w:val="24"/>
          <w:lang w:val="ro-RO"/>
        </w:rPr>
        <w:t>șa măsurii M2/6B</w:t>
      </w:r>
    </w:p>
    <w:p w:rsidR="00E31F4B" w:rsidRPr="00614AE4" w:rsidRDefault="00E31F4B" w:rsidP="00E31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54522" w:rsidRPr="003C35AC" w:rsidRDefault="00454522" w:rsidP="00454522">
      <w:pPr>
        <w:pStyle w:val="Cmsor2"/>
        <w:jc w:val="center"/>
        <w:rPr>
          <w:rFonts w:ascii="Trebuchet MS" w:hAnsi="Trebuchet MS"/>
          <w:sz w:val="24"/>
          <w:szCs w:val="24"/>
          <w:lang w:val="ro-RO"/>
        </w:rPr>
      </w:pPr>
    </w:p>
    <w:tbl>
      <w:tblPr>
        <w:tblW w:w="9082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3544"/>
        <w:gridCol w:w="5538"/>
      </w:tblGrid>
      <w:tr w:rsidR="00454522" w:rsidTr="00972085">
        <w:trPr>
          <w:trHeight w:val="9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</w:rPr>
              <w:t>Denumirea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Pr="00ED4090" w:rsidRDefault="00454522" w:rsidP="00972085">
            <w:pPr>
              <w:jc w:val="both"/>
              <w:rPr>
                <w:b/>
              </w:rPr>
            </w:pPr>
            <w:r w:rsidRPr="00ED4090">
              <w:rPr>
                <w:rFonts w:ascii="Trebuchet MS" w:hAnsi="Trebuchet MS" w:cs="Trebuchet MS"/>
                <w:b/>
                <w:lang w:val="ro-RO"/>
              </w:rPr>
              <w:t>Îmbunătățirea vieții culturale, comunitare și turistice</w:t>
            </w:r>
            <w:bookmarkStart w:id="0" w:name="_GoBack"/>
            <w:bookmarkEnd w:id="0"/>
            <w:r w:rsidRPr="00ED4090">
              <w:rPr>
                <w:rFonts w:ascii="Trebuchet MS" w:hAnsi="Trebuchet MS" w:cs="Trebuchet MS"/>
                <w:b/>
                <w:lang w:val="ro-RO"/>
              </w:rPr>
              <w:t xml:space="preserve"> prin achiziționarea de dotări și echipamente</w:t>
            </w:r>
            <w:r>
              <w:rPr>
                <w:rFonts w:ascii="Trebuchet MS" w:hAnsi="Trebuchet MS" w:cs="Trebuchet MS"/>
                <w:b/>
                <w:lang w:val="ro-RO"/>
              </w:rPr>
              <w:t xml:space="preserve"> pentru </w:t>
            </w:r>
            <w:r w:rsidRPr="007F35EC">
              <w:rPr>
                <w:rFonts w:ascii="Trebuchet MS" w:hAnsi="Trebuchet MS" w:cs="Trebuchet MS"/>
                <w:b/>
                <w:lang w:val="ro-RO"/>
              </w:rPr>
              <w:t>asociații</w:t>
            </w:r>
          </w:p>
        </w:tc>
      </w:tr>
      <w:tr w:rsidR="00454522" w:rsidTr="00972085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Codul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</w:rPr>
              <w:t>M</w:t>
            </w:r>
            <w:r>
              <w:rPr>
                <w:rFonts w:ascii="Trebuchet MS" w:hAnsi="Trebuchet MS" w:cs="Trebuchet MS"/>
                <w:lang w:val="ro-RO"/>
              </w:rPr>
              <w:t>2</w:t>
            </w:r>
            <w:r>
              <w:rPr>
                <w:rFonts w:ascii="Trebuchet MS" w:hAnsi="Trebuchet MS" w:cs="Trebuchet MS"/>
              </w:rPr>
              <w:t>/</w:t>
            </w:r>
            <w:r>
              <w:rPr>
                <w:rFonts w:ascii="Trebuchet MS" w:hAnsi="Trebuchet MS" w:cs="Trebuchet MS"/>
                <w:lang w:val="ro-RO"/>
              </w:rPr>
              <w:t>6B</w:t>
            </w:r>
          </w:p>
        </w:tc>
      </w:tr>
      <w:tr w:rsidR="00454522" w:rsidTr="00972085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Tipul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</w:rPr>
              <w:t>INVESTIȚII</w:t>
            </w:r>
          </w:p>
        </w:tc>
      </w:tr>
      <w:tr w:rsidR="00454522" w:rsidTr="00972085">
        <w:trPr>
          <w:trHeight w:val="26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  <w:b/>
              </w:rPr>
              <w:t xml:space="preserve">1.Descrierea </w:t>
            </w:r>
            <w:proofErr w:type="spellStart"/>
            <w:r>
              <w:rPr>
                <w:rFonts w:ascii="Trebuchet MS" w:hAnsi="Trebuchet MS" w:cs="Trebuchet MS"/>
                <w:b/>
              </w:rPr>
              <w:t>generală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</w:rPr>
              <w:t>măsurii</w:t>
            </w:r>
            <w:proofErr w:type="spellEnd"/>
          </w:p>
        </w:tc>
      </w:tr>
      <w:tr w:rsidR="00454522" w:rsidTr="00972085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1.1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gramStart"/>
            <w:r>
              <w:rPr>
                <w:rFonts w:ascii="Trebuchet MS" w:hAnsi="Trebuchet MS" w:cs="Trebuchet MS"/>
              </w:rPr>
              <w:t>.Corelare</w:t>
            </w:r>
            <w:proofErr w:type="spellEnd"/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analiza</w:t>
            </w:r>
            <w:proofErr w:type="spellEnd"/>
            <w:r>
              <w:rPr>
                <w:rFonts w:ascii="Trebuchet MS" w:hAnsi="Trebuchet MS" w:cs="Trebuchet MS"/>
              </w:rPr>
              <w:t xml:space="preserve"> SWOT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jc w:val="both"/>
            </w:pPr>
            <w:proofErr w:type="spellStart"/>
            <w:r>
              <w:rPr>
                <w:rFonts w:ascii="Trebuchet MS" w:hAnsi="Trebuchet MS" w:cs="Trebuchet MS"/>
              </w:rPr>
              <w:t>Organizațiile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societății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civile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contribuie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activităților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culturale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  <w:r>
              <w:rPr>
                <w:rFonts w:ascii="Trebuchet MS" w:hAnsi="Trebuchet MS" w:cs="Trebuchet MS"/>
              </w:rPr>
              <w:t xml:space="preserve">, de sport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tineret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completând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activitatea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autorităților</w:t>
            </w:r>
            <w:proofErr w:type="spellEnd"/>
            <w:r>
              <w:rPr>
                <w:rFonts w:ascii="Trebuchet MS" w:hAnsi="Trebuchet MS" w:cs="Trebuchet MS"/>
              </w:rPr>
              <w:t xml:space="preserve"> locale. </w:t>
            </w:r>
            <w:proofErr w:type="spellStart"/>
            <w:r>
              <w:rPr>
                <w:rFonts w:ascii="Trebuchet MS" w:hAnsi="Trebuchet MS" w:cs="Trebuchet MS"/>
              </w:rPr>
              <w:t>Sprijinirea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acestora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creșterea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responsabilității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rezolvarea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problemelor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comunității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 este </w:t>
            </w:r>
            <w:proofErr w:type="spellStart"/>
            <w:r>
              <w:rPr>
                <w:rFonts w:ascii="Trebuchet MS" w:hAnsi="Trebuchet MS" w:cs="Trebuchet MS"/>
              </w:rPr>
              <w:t>foarte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importantă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privinț</w:t>
            </w:r>
            <w:proofErr w:type="gramStart"/>
            <w:r>
              <w:rPr>
                <w:rFonts w:ascii="Trebuchet MS" w:hAnsi="Trebuchet MS" w:cs="Trebuchet MS"/>
              </w:rPr>
              <w:t>a</w:t>
            </w:r>
            <w:proofErr w:type="spellEnd"/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incluziunii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prevenirii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depopulării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zonelor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Organizațiile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societății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civile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sunt</w:t>
            </w:r>
            <w:proofErr w:type="spellEnd"/>
            <w:r>
              <w:rPr>
                <w:rFonts w:ascii="Trebuchet MS" w:hAnsi="Trebuchet MS" w:cs="Trebuchet MS"/>
              </w:rPr>
              <w:t xml:space="preserve"> motorul </w:t>
            </w:r>
            <w:proofErr w:type="spellStart"/>
            <w:r>
              <w:rPr>
                <w:rFonts w:ascii="Trebuchet MS" w:hAnsi="Trebuchet MS" w:cs="Trebuchet MS"/>
              </w:rPr>
              <w:t>dezvoltării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comunității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colaborare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autoritățile</w:t>
            </w:r>
            <w:proofErr w:type="spellEnd"/>
            <w:r>
              <w:rPr>
                <w:rFonts w:ascii="Trebuchet MS" w:hAnsi="Trebuchet MS" w:cs="Trebuchet MS"/>
              </w:rPr>
              <w:t xml:space="preserve"> locale. </w:t>
            </w:r>
            <w:proofErr w:type="spellStart"/>
            <w:r>
              <w:rPr>
                <w:rFonts w:ascii="Trebuchet MS" w:hAnsi="Trebuchet MS" w:cs="Trebuchet MS"/>
              </w:rPr>
              <w:t>Nivelul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activitate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societății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civile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face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referire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faptul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populația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voința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gramStart"/>
            <w:r>
              <w:rPr>
                <w:rFonts w:ascii="Trebuchet MS" w:hAnsi="Trebuchet MS" w:cs="Trebuchet MS"/>
              </w:rPr>
              <w:t>a</w:t>
            </w:r>
            <w:proofErr w:type="gram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influența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formarea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condițiilor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proprii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viață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Implicarea</w:t>
            </w:r>
            <w:proofErr w:type="spellEnd"/>
            <w:r>
              <w:rPr>
                <w:rFonts w:ascii="Trebuchet MS" w:hAnsi="Trebuchet MS" w:cs="Trebuchet MS"/>
              </w:rPr>
              <w:t xml:space="preserve"> ONG-</w:t>
            </w:r>
            <w:proofErr w:type="spellStart"/>
            <w:r>
              <w:rPr>
                <w:rFonts w:ascii="Trebuchet MS" w:hAnsi="Trebuchet MS" w:cs="Trebuchet MS"/>
              </w:rPr>
              <w:t>urilor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mediului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contribui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realizarea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unei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dezvoltări</w:t>
            </w:r>
            <w:proofErr w:type="spellEnd"/>
            <w:r>
              <w:rPr>
                <w:rFonts w:ascii="Trebuchet MS" w:hAnsi="Trebuchet MS" w:cs="Trebuchet MS"/>
              </w:rPr>
              <w:t xml:space="preserve"> dinamice. </w:t>
            </w:r>
            <w:proofErr w:type="spellStart"/>
            <w:r>
              <w:rPr>
                <w:rFonts w:ascii="Trebuchet MS" w:hAnsi="Trebuchet MS" w:cs="Trebuchet MS"/>
              </w:rPr>
              <w:t>Disparitatea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problemă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din </w:t>
            </w:r>
            <w:proofErr w:type="spellStart"/>
            <w:r>
              <w:rPr>
                <w:rFonts w:ascii="Trebuchet MS" w:hAnsi="Trebuchet MS" w:cs="Trebuchet MS"/>
              </w:rPr>
              <w:t>moment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conform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analizei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diagnostic</w:t>
            </w:r>
            <w:proofErr w:type="spellEnd"/>
            <w:r>
              <w:rPr>
                <w:rFonts w:ascii="Trebuchet MS" w:hAnsi="Trebuchet MS" w:cs="Trebuchet MS"/>
              </w:rPr>
              <w:t xml:space="preserve"> 23,4% din </w:t>
            </w:r>
            <w:proofErr w:type="spellStart"/>
            <w:r>
              <w:rPr>
                <w:rFonts w:ascii="Trebuchet MS" w:hAnsi="Trebuchet MS" w:cs="Trebuchet MS"/>
              </w:rPr>
              <w:t>populația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 este de </w:t>
            </w:r>
            <w:proofErr w:type="spellStart"/>
            <w:r>
              <w:rPr>
                <w:rFonts w:ascii="Trebuchet MS" w:hAnsi="Trebuchet MS" w:cs="Trebuchet MS"/>
              </w:rPr>
              <w:t>etnie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romă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alcătuiesc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grupare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marginalizată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astfel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criteriile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selecție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apare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discriminare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pozitivă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acest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sens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454522" w:rsidTr="00972085">
        <w:trPr>
          <w:trHeight w:val="4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1.2. </w:t>
            </w:r>
            <w:proofErr w:type="spellStart"/>
            <w:r>
              <w:rPr>
                <w:rFonts w:ascii="Trebuchet MS" w:hAnsi="Trebuchet MS" w:cs="Trebuchet MS"/>
              </w:rPr>
              <w:t>Obiectivul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dezvoltare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(</w:t>
            </w:r>
            <w:proofErr w:type="gramEnd"/>
            <w:r>
              <w:rPr>
                <w:rFonts w:ascii="Trebuchet MS" w:hAnsi="Trebuchet MS" w:cs="Trebuchet MS"/>
              </w:rPr>
              <w:t>UE) 1305/2013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tabs>
                <w:tab w:val="left" w:pos="231"/>
              </w:tabs>
              <w:spacing w:line="276" w:lineRule="auto"/>
              <w:ind w:left="51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b) asigurarea gestionării durabile a resurselor naturale și combaterea schimbărilor climatice</w:t>
            </w:r>
          </w:p>
          <w:p w:rsidR="00454522" w:rsidRDefault="00454522" w:rsidP="00972085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c.)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obținerea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teritoriale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echilibrate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comunităților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inclusiv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crearea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menținerea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muncă</w:t>
            </w:r>
            <w:proofErr w:type="spellEnd"/>
          </w:p>
        </w:tc>
      </w:tr>
      <w:tr w:rsidR="00454522" w:rsidTr="00972085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1.3.Obiectivul </w:t>
            </w:r>
            <w:proofErr w:type="spellStart"/>
            <w:r>
              <w:rPr>
                <w:rFonts w:ascii="Trebuchet MS" w:hAnsi="Trebuchet MS" w:cs="Trebuchet MS"/>
              </w:rPr>
              <w:t>specific</w:t>
            </w:r>
            <w:proofErr w:type="spellEnd"/>
            <w:r>
              <w:rPr>
                <w:rFonts w:ascii="Trebuchet MS" w:hAnsi="Trebuchet MS" w:cs="Trebuchet MS"/>
              </w:rPr>
              <w:t xml:space="preserve"> local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măsurii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454522">
            <w:pPr>
              <w:pStyle w:val="Listaszerbekezds1"/>
              <w:numPr>
                <w:ilvl w:val="0"/>
                <w:numId w:val="21"/>
              </w:numPr>
              <w:spacing w:line="276" w:lineRule="auto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consolidarea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societății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civile</w:t>
            </w:r>
            <w:proofErr w:type="spellEnd"/>
          </w:p>
          <w:p w:rsidR="00454522" w:rsidRDefault="00454522" w:rsidP="00454522">
            <w:pPr>
              <w:pStyle w:val="Listaszerbekezds1"/>
              <w:numPr>
                <w:ilvl w:val="0"/>
                <w:numId w:val="21"/>
              </w:numPr>
              <w:spacing w:line="276" w:lineRule="auto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participarea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activă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societății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civile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comunității</w:t>
            </w:r>
            <w:proofErr w:type="spellEnd"/>
          </w:p>
          <w:p w:rsidR="00454522" w:rsidRDefault="00454522" w:rsidP="00454522">
            <w:pPr>
              <w:pStyle w:val="Listaszerbekezds1"/>
              <w:numPr>
                <w:ilvl w:val="0"/>
                <w:numId w:val="21"/>
              </w:numPr>
              <w:spacing w:line="276" w:lineRule="auto"/>
              <w:jc w:val="both"/>
              <w:rPr>
                <w:rFonts w:ascii="Trebuchet MS" w:hAnsi="Trebuchet MS" w:cs="Trebuchet MS"/>
                <w:bCs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implicarea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societății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civile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echilibrată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mediului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</w:t>
            </w:r>
            <w:proofErr w:type="spellEnd"/>
          </w:p>
          <w:p w:rsidR="00454522" w:rsidRDefault="00454522" w:rsidP="00454522">
            <w:pPr>
              <w:pStyle w:val="Listaszerbekezds1"/>
              <w:numPr>
                <w:ilvl w:val="0"/>
                <w:numId w:val="21"/>
              </w:numPr>
              <w:spacing w:line="276" w:lineRule="auto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crearea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consolidarea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capacităților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dezvoltarea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durabilă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comunității</w:t>
            </w:r>
            <w:proofErr w:type="spellEnd"/>
            <w:r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rurale</w:t>
            </w:r>
            <w:proofErr w:type="spellEnd"/>
          </w:p>
          <w:p w:rsidR="00454522" w:rsidRDefault="00454522" w:rsidP="00454522">
            <w:pPr>
              <w:pStyle w:val="Listaszerbekezds1"/>
              <w:numPr>
                <w:ilvl w:val="0"/>
                <w:numId w:val="21"/>
              </w:numPr>
              <w:spacing w:line="276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creșterea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numărului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locuitori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zonele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beneficiază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servicii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îmbunătățite</w:t>
            </w:r>
            <w:proofErr w:type="spellEnd"/>
          </w:p>
          <w:p w:rsidR="00454522" w:rsidRDefault="00454522" w:rsidP="00454522">
            <w:pPr>
              <w:pStyle w:val="Listaszerbekezds1"/>
              <w:numPr>
                <w:ilvl w:val="0"/>
                <w:numId w:val="21"/>
              </w:numPr>
              <w:spacing w:line="276" w:lineRule="auto"/>
              <w:jc w:val="both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lastRenderedPageBreak/>
              <w:t>diversificarea domeniului de agrement comunitar  – cultură, sport, turism</w:t>
            </w:r>
          </w:p>
        </w:tc>
      </w:tr>
      <w:tr w:rsidR="00454522" w:rsidTr="00972085">
        <w:trPr>
          <w:trHeight w:val="3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1.4. </w:t>
            </w:r>
            <w:proofErr w:type="spellStart"/>
            <w:r>
              <w:rPr>
                <w:rFonts w:ascii="Trebuchet MS" w:hAnsi="Trebuchet MS" w:cs="Trebuchet MS"/>
              </w:rPr>
              <w:t>Contribuţie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prioritatea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prevăzute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</w:rPr>
              <w:t>la</w:t>
            </w:r>
            <w:proofErr w:type="gramEnd"/>
            <w:r>
              <w:rPr>
                <w:rFonts w:ascii="Trebuchet MS" w:hAnsi="Trebuchet MS" w:cs="Trebuchet MS"/>
              </w:rPr>
              <w:t xml:space="preserve"> art.5,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P</w:t>
            </w:r>
            <w:r>
              <w:rPr>
                <w:rFonts w:ascii="Trebuchet MS" w:hAnsi="Trebuchet MS" w:cs="Trebuchet MS"/>
                <w:sz w:val="22"/>
                <w:szCs w:val="22"/>
              </w:rPr>
              <w:t>6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-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incluziunii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sărăciei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zonele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</w:p>
        </w:tc>
      </w:tr>
      <w:tr w:rsidR="00454522" w:rsidTr="00972085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1.5. </w:t>
            </w:r>
            <w:proofErr w:type="spellStart"/>
            <w:r>
              <w:rPr>
                <w:rFonts w:ascii="Trebuchet MS" w:hAnsi="Trebuchet MS" w:cs="Trebuchet MS"/>
              </w:rPr>
              <w:t>Contibuţia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SDL (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>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spacing w:after="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1. Creșterea atractivității vieții rurale prin dezvoltarea, modernizarea spațiilor comunitare, prin activarea vieții participative a locuitorilor și prin întărirea sferei civile </w:t>
            </w:r>
          </w:p>
          <w:p w:rsidR="00454522" w:rsidRDefault="00454522" w:rsidP="00972085">
            <w:pPr>
              <w:ind w:left="43"/>
              <w:jc w:val="both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4. Atragerea tinerilor în mediul rural prin crearea unui ambient favorabil înființării diferitelor activități economice agricole și non-agricole</w:t>
            </w:r>
          </w:p>
        </w:tc>
      </w:tr>
      <w:tr w:rsidR="00454522" w:rsidTr="00972085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1.6. </w:t>
            </w:r>
            <w:proofErr w:type="spellStart"/>
            <w:r>
              <w:rPr>
                <w:rFonts w:ascii="Trebuchet MS" w:hAnsi="Trebuchet MS" w:cs="Trebuchet MS"/>
              </w:rPr>
              <w:t>Masura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corespunde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obiectivelor</w:t>
            </w:r>
            <w:proofErr w:type="spellEnd"/>
            <w:r>
              <w:rPr>
                <w:rFonts w:ascii="Trebuchet MS" w:hAnsi="Trebuchet MS" w:cs="Trebuchet MS"/>
              </w:rPr>
              <w:t xml:space="preserve"> art. .</w:t>
            </w:r>
            <w:proofErr w:type="gramStart"/>
            <w:r>
              <w:rPr>
                <w:rFonts w:ascii="Trebuchet MS" w:hAnsi="Trebuchet MS" w:cs="Trebuchet MS"/>
              </w:rPr>
              <w:t>..</w:t>
            </w:r>
            <w:proofErr w:type="gram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art. </w:t>
            </w:r>
            <w:proofErr w:type="gramStart"/>
            <w:r>
              <w:rPr>
                <w:rFonts w:ascii="Trebuchet MS" w:hAnsi="Trebuchet MS" w:cs="Trebuchet MS"/>
              </w:rPr>
              <w:t>20  (</w:t>
            </w:r>
            <w:proofErr w:type="gramEnd"/>
            <w:r>
              <w:rPr>
                <w:rFonts w:ascii="Trebuchet MS" w:hAnsi="Trebuchet MS" w:cs="Trebuchet MS"/>
              </w:rPr>
              <w:t>d)</w:t>
            </w:r>
          </w:p>
          <w:p w:rsidR="00454522" w:rsidRDefault="00454522" w:rsidP="00972085">
            <w:pPr>
              <w:rPr>
                <w:rFonts w:ascii="Trebuchet MS" w:hAnsi="Trebuchet MS" w:cs="Trebuchet MS"/>
              </w:rPr>
            </w:pPr>
          </w:p>
        </w:tc>
      </w:tr>
      <w:tr w:rsidR="00454522" w:rsidTr="00972085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tabs>
                <w:tab w:val="left" w:pos="510"/>
              </w:tabs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Contribuţia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domeniile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intervenţie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</w:rPr>
              <w:t xml:space="preserve">6 B </w:t>
            </w:r>
            <w:proofErr w:type="spellStart"/>
            <w:r>
              <w:rPr>
                <w:rFonts w:ascii="Trebuchet MS" w:hAnsi="Trebuchet MS" w:cs="Trebuchet MS"/>
              </w:rPr>
              <w:t>încurajarea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dezvoltării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zonele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rurale</w:t>
            </w:r>
            <w:proofErr w:type="spellEnd"/>
          </w:p>
        </w:tc>
      </w:tr>
      <w:tr w:rsidR="00454522" w:rsidTr="00972085">
        <w:trPr>
          <w:trHeight w:val="5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tabs>
                <w:tab w:val="left" w:pos="510"/>
              </w:tabs>
              <w:spacing w:line="276" w:lineRule="auto"/>
              <w:ind w:left="360" w:hanging="36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1.8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Contribuţia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obiectivele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transversale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.(UE) 1305/2013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rPr>
                <w:rFonts w:ascii="Trebuchet MS" w:eastAsia="Trebuchet MS" w:hAnsi="Trebuchet MS" w:cs="Trebuchet MS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</w:rPr>
              <w:t>Măsura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contribuie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</w:rPr>
              <w:t>inovare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 xml:space="preserve">prin faptul că pentru ONG-uri la nivel național nu sunt accesibile fonduri la scară mică și care vizează dotarea strictă </w:t>
            </w:r>
            <w:proofErr w:type="gramStart"/>
            <w:r>
              <w:rPr>
                <w:rFonts w:ascii="Trebuchet MS" w:hAnsi="Trebuchet MS" w:cs="Trebuchet MS"/>
                <w:lang w:val="ro-RO"/>
              </w:rPr>
              <w:t>a</w:t>
            </w:r>
            <w:proofErr w:type="gramEnd"/>
            <w:r>
              <w:rPr>
                <w:rFonts w:ascii="Trebuchet MS" w:hAnsi="Trebuchet MS" w:cs="Trebuchet MS"/>
                <w:lang w:val="ro-RO"/>
              </w:rPr>
              <w:t xml:space="preserve"> acestora. Fiind vorba de ONG-uri mici, inițiate la nivelul localităților mici, sursele de venituri sunt foarte reduse, iar activitatea lor este foarte elocventă și benefică pentru comunitate. Totodată prin favorizarea ONG-urilor minorităților locale (rome), care nu pot accesa marile programe de integrare, aceștia au aici posibilitatea de a dezvolta dotările necesare activității.</w:t>
            </w:r>
          </w:p>
          <w:p w:rsidR="00454522" w:rsidRDefault="00454522" w:rsidP="00972085">
            <w:r>
              <w:rPr>
                <w:rFonts w:ascii="Trebuchet MS" w:eastAsia="Trebuchet MS" w:hAnsi="Trebuchet MS" w:cs="Trebuchet MS"/>
                <w:lang w:val="ro-RO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Ele cunosc specialitățile locale, se organizează prin tehnici participative; astfel implicarea lor în integrarea acestor comunități este foarte importantă.</w:t>
            </w:r>
          </w:p>
        </w:tc>
      </w:tr>
      <w:tr w:rsidR="00454522" w:rsidTr="00972085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tabs>
                <w:tab w:val="left" w:pos="540"/>
              </w:tabs>
              <w:spacing w:line="276" w:lineRule="auto"/>
              <w:ind w:left="327" w:hanging="327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1.9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Complementaritate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măsuri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SDL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"/>
              <w:ind w:left="33"/>
              <w:jc w:val="both"/>
            </w:pPr>
            <w:r>
              <w:rPr>
                <w:rFonts w:ascii="Trebuchet MS" w:hAnsi="Trebuchet MS" w:cs="Trebuchet MS"/>
                <w:b/>
                <w:lang w:val="ro-RO"/>
              </w:rPr>
              <w:t>Măsura 1:</w:t>
            </w:r>
            <w:r>
              <w:rPr>
                <w:rFonts w:ascii="Trebuchet MS" w:hAnsi="Trebuchet MS" w:cs="Trebuchet MS"/>
                <w:lang w:val="ro-RO"/>
              </w:rPr>
              <w:t xml:space="preserve"> Îmbunătățirea calității vieții rurale – prin această complementaritate se asigură partea hard al infrastructurilor ce involvă activități ai ONG-urilor</w:t>
            </w:r>
          </w:p>
        </w:tc>
      </w:tr>
      <w:tr w:rsidR="00454522" w:rsidTr="00972085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469" w:hanging="425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Sinergia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măsuri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SDL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  <w:lang w:val="ro-RO"/>
              </w:rPr>
              <w:t>Sinergia cu Măsura 1 vizând prioritatea - Creșterea atractivității vieții rurale prin dezvoltarea, modernizarea spațiilor comunitare, prin activarea vieții participative a locuitorilor și prin întărirea sferei civile</w:t>
            </w:r>
          </w:p>
        </w:tc>
      </w:tr>
      <w:tr w:rsidR="00454522" w:rsidTr="00972085">
        <w:trPr>
          <w:trHeight w:val="35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454522" w:rsidTr="00972085">
        <w:trPr>
          <w:trHeight w:val="26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jc w:val="both"/>
            </w:pPr>
            <w:proofErr w:type="spellStart"/>
            <w:r>
              <w:rPr>
                <w:rFonts w:ascii="Trebuchet MS" w:hAnsi="Trebuchet MS" w:cs="Trebuchet MS"/>
                <w:iCs/>
              </w:rPr>
              <w:t>Sprijinirea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organizațiilor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societății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civile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iCs/>
              </w:rPr>
              <w:t>reprezintă</w:t>
            </w:r>
            <w:proofErr w:type="spellEnd"/>
            <w:r>
              <w:rPr>
                <w:rFonts w:ascii="Trebuchet MS" w:hAnsi="Trebuchet MS" w:cs="Trebuchet MS"/>
                <w:iCs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o </w:t>
            </w:r>
            <w:proofErr w:type="spellStart"/>
            <w:r>
              <w:rPr>
                <w:rFonts w:ascii="Trebuchet MS" w:hAnsi="Trebuchet MS" w:cs="Trebuchet MS"/>
              </w:rPr>
              <w:t>abordare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integrată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prin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care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organizațiile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societăților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civile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induca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dezvoltarea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viabilă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și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sustenabilă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mediului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rural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454522" w:rsidTr="00972085">
        <w:trPr>
          <w:trHeight w:val="35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acte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legislative</w:t>
            </w:r>
            <w:proofErr w:type="spellEnd"/>
          </w:p>
        </w:tc>
      </w:tr>
      <w:tr w:rsidR="00454522" w:rsidTr="00972085">
        <w:trPr>
          <w:trHeight w:val="26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Hotărârea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Guvernului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26/2000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privire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asociații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fundații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;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Legea 489/2006</w:t>
            </w:r>
          </w:p>
          <w:p w:rsidR="00454522" w:rsidRDefault="00454522" w:rsidP="00972085">
            <w:pPr>
              <w:pStyle w:val="Listaszerbekezds1"/>
              <w:tabs>
                <w:tab w:val="left" w:pos="270"/>
              </w:tabs>
              <w:spacing w:line="276" w:lineRule="auto"/>
              <w:ind w:left="0"/>
              <w:jc w:val="both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1303/2013,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1305/2013 (art. 20, art. 35),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807/2014,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1407/2013</w:t>
            </w:r>
          </w:p>
        </w:tc>
      </w:tr>
      <w:tr w:rsidR="00454522" w:rsidTr="00972085">
        <w:trPr>
          <w:trHeight w:val="17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454522" w:rsidTr="00972085">
        <w:trPr>
          <w:trHeight w:val="3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420" w:hanging="42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direcţi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Pr="003E39C4" w:rsidRDefault="00454522" w:rsidP="00454522">
            <w:pPr>
              <w:pStyle w:val="Listaszerbekezds"/>
              <w:numPr>
                <w:ilvl w:val="0"/>
                <w:numId w:val="24"/>
              </w:numPr>
              <w:suppressAutoHyphens/>
              <w:spacing w:after="200" w:line="276" w:lineRule="auto"/>
              <w:rPr>
                <w:rFonts w:ascii="Trebuchet MS" w:hAnsi="Trebuchet MS" w:cs="Trebuchet MS"/>
              </w:rPr>
            </w:pPr>
            <w:r w:rsidRPr="003E39C4">
              <w:rPr>
                <w:rFonts w:ascii="Trebuchet MS" w:hAnsi="Trebuchet MS" w:cs="Trebuchet MS"/>
                <w:lang w:val="ro-RO"/>
              </w:rPr>
              <w:t>Societatea civilă:</w:t>
            </w:r>
            <w:r w:rsidRPr="003E39C4">
              <w:rPr>
                <w:rFonts w:ascii="Trebuchet MS" w:hAnsi="Trebuchet MS" w:cs="Trebuchet MS"/>
              </w:rPr>
              <w:t xml:space="preserve"> 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4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ONG-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definite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legislației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vigoare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în afara celor din domeniul agricol și forestier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4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ONG-uri care reprezintă interesele unei minorități locale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4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Entități publice: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4"/>
              </w:numPr>
              <w:spacing w:line="276" w:lineRule="auto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u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nități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cult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,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legislației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vigoare</w:t>
            </w:r>
            <w:proofErr w:type="spellEnd"/>
          </w:p>
        </w:tc>
      </w:tr>
      <w:tr w:rsidR="00454522" w:rsidTr="00972085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0"/>
              <w:rPr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indirecţi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454522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Grupuri marginalizate în special minoritatea romă</w:t>
            </w:r>
          </w:p>
          <w:p w:rsidR="00454522" w:rsidRDefault="00454522" w:rsidP="00454522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întreprinderile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locale</w:t>
            </w:r>
            <w:proofErr w:type="spellEnd"/>
          </w:p>
          <w:p w:rsidR="00454522" w:rsidRDefault="00454522" w:rsidP="00454522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spacing w:line="276" w:lineRule="auto"/>
              <w:ind w:left="360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APL-uri</w:t>
            </w:r>
          </w:p>
        </w:tc>
      </w:tr>
      <w:tr w:rsidR="00454522" w:rsidTr="00972085">
        <w:trPr>
          <w:trHeight w:val="18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454522" w:rsidTr="00972085">
        <w:trPr>
          <w:trHeight w:val="45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454522">
            <w:pPr>
              <w:pStyle w:val="Default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  <w:ind w:left="327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Rambursarea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costurilor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eligibile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suportate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plătite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efectiv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454522" w:rsidRDefault="00454522" w:rsidP="00454522">
            <w:pPr>
              <w:pStyle w:val="Default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  <w:ind w:left="327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Plăți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avans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cu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condiția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constituirii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unei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garanții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bancare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a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unei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garanții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echivalente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corespunzătoare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procentului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100% din </w:t>
            </w:r>
            <w:proofErr w:type="spellStart"/>
            <w:r>
              <w:rPr>
                <w:color w:val="auto"/>
                <w:sz w:val="22"/>
                <w:szCs w:val="22"/>
              </w:rPr>
              <w:t>valoarea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avansului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conformitate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art. 45 (4) </w:t>
            </w:r>
            <w:proofErr w:type="spellStart"/>
            <w:r>
              <w:rPr>
                <w:color w:val="auto"/>
                <w:sz w:val="22"/>
                <w:szCs w:val="22"/>
              </w:rPr>
              <w:t>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art. 63 </w:t>
            </w:r>
            <w:proofErr w:type="spellStart"/>
            <w:r>
              <w:rPr>
                <w:color w:val="auto"/>
                <w:sz w:val="22"/>
                <w:szCs w:val="22"/>
              </w:rPr>
              <w:t>ale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R. (CE) </w:t>
            </w:r>
            <w:proofErr w:type="spellStart"/>
            <w:r>
              <w:rPr>
                <w:color w:val="auto"/>
                <w:sz w:val="22"/>
                <w:szCs w:val="22"/>
              </w:rPr>
              <w:t>nr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1305/2014. </w:t>
            </w:r>
          </w:p>
        </w:tc>
      </w:tr>
      <w:tr w:rsidR="00454522" w:rsidTr="00972085">
        <w:trPr>
          <w:trHeight w:val="24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  <w:b/>
              </w:rPr>
              <w:t xml:space="preserve">6.Tipuri de </w:t>
            </w:r>
            <w:proofErr w:type="spellStart"/>
            <w:r>
              <w:rPr>
                <w:rFonts w:ascii="Trebuchet MS" w:hAnsi="Trebuchet MS" w:cs="Trebuchet MS"/>
                <w:b/>
              </w:rPr>
              <w:t>acţiuni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eligibile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şi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neeligibile</w:t>
            </w:r>
            <w:proofErr w:type="spellEnd"/>
          </w:p>
        </w:tc>
      </w:tr>
      <w:tr w:rsidR="00454522" w:rsidTr="00972085">
        <w:trPr>
          <w:trHeight w:val="45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Listaszerbekezds1"/>
              <w:spacing w:line="276" w:lineRule="auto"/>
              <w:ind w:left="34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eligibile: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7"/>
              </w:numPr>
              <w:spacing w:line="276" w:lineRule="auto"/>
              <w:ind w:left="469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Reabilitarea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culturale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organizațiilor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societății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civile</w:t>
            </w:r>
            <w:proofErr w:type="spellEnd"/>
          </w:p>
          <w:p w:rsidR="00454522" w:rsidRDefault="00454522" w:rsidP="00454522">
            <w:pPr>
              <w:pStyle w:val="Listaszerbekezds1"/>
              <w:numPr>
                <w:ilvl w:val="0"/>
                <w:numId w:val="27"/>
              </w:numPr>
              <w:spacing w:line="276" w:lineRule="auto"/>
              <w:ind w:left="469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spațiilor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interes local 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7"/>
              </w:numPr>
              <w:spacing w:line="276" w:lineRule="auto"/>
              <w:ind w:left="469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spațiilor comunitare utilizate de ONG-uri/culte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asigurarea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serviciilor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bază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asistență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copii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tineri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integrare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rromi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instruire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educație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preventive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persoane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dizabilități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, etc.)</w:t>
            </w: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7"/>
              </w:numPr>
              <w:spacing w:line="276" w:lineRule="auto"/>
              <w:ind w:left="469"/>
              <w:jc w:val="both"/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Construirea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reabilitarea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dotarea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unităţilor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situaţii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urgenţă</w:t>
            </w:r>
            <w:proofErr w:type="spellEnd"/>
          </w:p>
          <w:p w:rsidR="00454522" w:rsidRDefault="00454522" w:rsidP="00972085">
            <w:pPr>
              <w:pStyle w:val="Listaszerbekezds1"/>
              <w:spacing w:line="276" w:lineRule="auto"/>
              <w:ind w:left="34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neeligibile:</w:t>
            </w:r>
          </w:p>
          <w:p w:rsidR="00454522" w:rsidRDefault="00454522" w:rsidP="00454522">
            <w:pPr>
              <w:pStyle w:val="Listaszerbekezds1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Acțiuni de construcții/modernizări/renovări </w:t>
            </w:r>
          </w:p>
          <w:p w:rsidR="00454522" w:rsidRPr="00ED4090" w:rsidRDefault="00454522" w:rsidP="00454522">
            <w:pPr>
              <w:pStyle w:val="Listaszerbekezds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Trebuchet MS" w:hAnsi="Trebuchet MS" w:cs="Trebuchet MS"/>
              </w:rPr>
            </w:pPr>
            <w:proofErr w:type="spellStart"/>
            <w:r w:rsidRPr="00ED4090">
              <w:rPr>
                <w:rFonts w:ascii="Trebuchet MS" w:hAnsi="Trebuchet MS" w:cs="Trebuchet MS"/>
              </w:rPr>
              <w:t>Achiziționarea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ED4090">
              <w:rPr>
                <w:rFonts w:ascii="Trebuchet MS" w:hAnsi="Trebuchet MS" w:cs="Trebuchet MS"/>
              </w:rPr>
              <w:t>echipamente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și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utilaje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second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hand</w:t>
            </w:r>
            <w:proofErr w:type="spellEnd"/>
          </w:p>
          <w:p w:rsidR="00454522" w:rsidRPr="00ED4090" w:rsidRDefault="00454522" w:rsidP="00454522">
            <w:pPr>
              <w:pStyle w:val="Listaszerbekezds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Trebuchet MS" w:hAnsi="Trebuchet MS" w:cs="Trebuchet MS"/>
              </w:rPr>
            </w:pPr>
            <w:proofErr w:type="spellStart"/>
            <w:r w:rsidRPr="00ED4090">
              <w:rPr>
                <w:rFonts w:ascii="Trebuchet MS" w:hAnsi="Trebuchet MS" w:cs="Trebuchet MS"/>
              </w:rPr>
              <w:t>achiziționarea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de </w:t>
            </w:r>
            <w:proofErr w:type="spellStart"/>
            <w:r w:rsidRPr="00ED4090">
              <w:rPr>
                <w:rFonts w:ascii="Trebuchet MS" w:hAnsi="Trebuchet MS" w:cs="Trebuchet MS"/>
              </w:rPr>
              <w:t>clădiri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și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terenuri</w:t>
            </w:r>
            <w:proofErr w:type="spellEnd"/>
          </w:p>
          <w:p w:rsidR="00454522" w:rsidRPr="00ED4090" w:rsidRDefault="00454522" w:rsidP="00454522">
            <w:pPr>
              <w:pStyle w:val="Listaszerbekezds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Trebuchet MS" w:hAnsi="Trebuchet MS" w:cs="Trebuchet MS"/>
              </w:rPr>
            </w:pPr>
            <w:proofErr w:type="spellStart"/>
            <w:r w:rsidRPr="00ED4090">
              <w:rPr>
                <w:rFonts w:ascii="Trebuchet MS" w:hAnsi="Trebuchet MS" w:cs="Trebuchet MS"/>
              </w:rPr>
              <w:t>construcția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și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modernizarea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locuinței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și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a </w:t>
            </w:r>
            <w:proofErr w:type="spellStart"/>
            <w:r w:rsidRPr="00ED4090">
              <w:rPr>
                <w:rFonts w:ascii="Trebuchet MS" w:hAnsi="Trebuchet MS" w:cs="Trebuchet MS"/>
              </w:rPr>
              <w:t>sediilor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sociale</w:t>
            </w:r>
            <w:proofErr w:type="spellEnd"/>
          </w:p>
          <w:p w:rsidR="00454522" w:rsidRPr="00ED4090" w:rsidRDefault="00454522" w:rsidP="00454522">
            <w:pPr>
              <w:pStyle w:val="Listaszerbekezds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Trebuchet MS" w:hAnsi="Trebuchet MS" w:cs="Trebuchet MS"/>
              </w:rPr>
            </w:pPr>
            <w:proofErr w:type="spellStart"/>
            <w:r w:rsidRPr="00ED4090">
              <w:rPr>
                <w:rFonts w:ascii="Trebuchet MS" w:hAnsi="Trebuchet MS" w:cs="Trebuchet MS"/>
              </w:rPr>
              <w:t>cheltuieli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efectuate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înaintea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semnării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contractului</w:t>
            </w:r>
            <w:proofErr w:type="spellEnd"/>
          </w:p>
          <w:p w:rsidR="00454522" w:rsidRPr="00ED4090" w:rsidRDefault="00454522" w:rsidP="00454522">
            <w:pPr>
              <w:pStyle w:val="Listaszerbekezds"/>
              <w:numPr>
                <w:ilvl w:val="0"/>
                <w:numId w:val="25"/>
              </w:numPr>
              <w:suppressAutoHyphens/>
              <w:spacing w:after="0" w:line="276" w:lineRule="auto"/>
              <w:rPr>
                <w:rFonts w:ascii="Trebuchet MS" w:hAnsi="Trebuchet MS" w:cs="Trebuchet MS"/>
              </w:rPr>
            </w:pPr>
            <w:proofErr w:type="spellStart"/>
            <w:r w:rsidRPr="00ED4090">
              <w:rPr>
                <w:rFonts w:ascii="Trebuchet MS" w:hAnsi="Trebuchet MS" w:cs="Trebuchet MS"/>
              </w:rPr>
              <w:t>dobânzi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ED4090">
              <w:rPr>
                <w:rFonts w:ascii="Trebuchet MS" w:hAnsi="Trebuchet MS" w:cs="Trebuchet MS"/>
              </w:rPr>
              <w:t>comisioane</w:t>
            </w:r>
            <w:proofErr w:type="spellEnd"/>
          </w:p>
          <w:p w:rsidR="00454522" w:rsidRDefault="00454522" w:rsidP="00454522">
            <w:pPr>
              <w:pStyle w:val="Listaszerbekezds"/>
              <w:numPr>
                <w:ilvl w:val="0"/>
                <w:numId w:val="25"/>
              </w:numPr>
              <w:suppressAutoHyphens/>
              <w:spacing w:after="0" w:line="276" w:lineRule="auto"/>
            </w:pPr>
            <w:r w:rsidRPr="00ED4090">
              <w:rPr>
                <w:rFonts w:ascii="Trebuchet MS" w:hAnsi="Trebuchet MS" w:cs="Trebuchet MS"/>
              </w:rPr>
              <w:t xml:space="preserve">taxa pe </w:t>
            </w:r>
            <w:proofErr w:type="spellStart"/>
            <w:r w:rsidRPr="00ED4090">
              <w:rPr>
                <w:rFonts w:ascii="Trebuchet MS" w:hAnsi="Trebuchet MS" w:cs="Trebuchet MS"/>
              </w:rPr>
              <w:t>valoarea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adăugată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, </w:t>
            </w:r>
            <w:proofErr w:type="spellStart"/>
            <w:r w:rsidRPr="00ED4090">
              <w:rPr>
                <w:rFonts w:ascii="Trebuchet MS" w:hAnsi="Trebuchet MS" w:cs="Trebuchet MS"/>
              </w:rPr>
              <w:t>cu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excepţia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cazului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în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care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aceasta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nu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se </w:t>
            </w:r>
            <w:proofErr w:type="spellStart"/>
            <w:r w:rsidRPr="00ED4090">
              <w:rPr>
                <w:rFonts w:ascii="Trebuchet MS" w:hAnsi="Trebuchet MS" w:cs="Trebuchet MS"/>
              </w:rPr>
              <w:t>poate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recupera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în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temeiul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legislaţiei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naţionale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privind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TVA-</w:t>
            </w:r>
            <w:proofErr w:type="spellStart"/>
            <w:r w:rsidRPr="00ED4090">
              <w:rPr>
                <w:rFonts w:ascii="Trebuchet MS" w:hAnsi="Trebuchet MS" w:cs="Trebuchet MS"/>
              </w:rPr>
              <w:t>ul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şi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a </w:t>
            </w:r>
            <w:proofErr w:type="spellStart"/>
            <w:r w:rsidRPr="00ED4090">
              <w:rPr>
                <w:rFonts w:ascii="Trebuchet MS" w:hAnsi="Trebuchet MS" w:cs="Trebuchet MS"/>
              </w:rPr>
              <w:t>prevederilor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specifice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pentru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instrumente</w:t>
            </w:r>
            <w:proofErr w:type="spellEnd"/>
            <w:r w:rsidRPr="00ED4090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ED4090">
              <w:rPr>
                <w:rFonts w:ascii="Trebuchet MS" w:hAnsi="Trebuchet MS" w:cs="Trebuchet MS"/>
              </w:rPr>
              <w:t>financiare</w:t>
            </w:r>
            <w:proofErr w:type="spellEnd"/>
          </w:p>
        </w:tc>
      </w:tr>
      <w:tr w:rsidR="00454522" w:rsidTr="00972085">
        <w:trPr>
          <w:trHeight w:val="377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454522">
            <w:pPr>
              <w:pStyle w:val="Listaszerbekezds1"/>
              <w:numPr>
                <w:ilvl w:val="0"/>
                <w:numId w:val="23"/>
              </w:numPr>
              <w:spacing w:line="276" w:lineRule="auto"/>
              <w:ind w:left="270" w:hanging="270"/>
            </w:pP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454522" w:rsidTr="00972085">
        <w:trPr>
          <w:trHeight w:val="44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454522">
            <w:pPr>
              <w:pStyle w:val="Default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categoria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beneficiarilor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eligibili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454522" w:rsidRDefault="00454522" w:rsidP="00454522">
            <w:pPr>
              <w:pStyle w:val="Default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 xml:space="preserve"> nu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fie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insolvență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sau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incapacitate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plată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454522" w:rsidRDefault="00454522" w:rsidP="00454522">
            <w:pPr>
              <w:pStyle w:val="Default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Solicitantul să aibă sediul/punct de lucru numai pe teritoriul GAL</w:t>
            </w:r>
          </w:p>
          <w:p w:rsidR="00454522" w:rsidRDefault="00454522" w:rsidP="00454522">
            <w:pPr>
              <w:pStyle w:val="Default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lastRenderedPageBreak/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tipul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sprijin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prevăzut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prin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măsură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454522" w:rsidRDefault="00454522" w:rsidP="00454522">
            <w:pPr>
              <w:pStyle w:val="Default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realizeze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teritoriul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ro-RO"/>
              </w:rPr>
              <w:t>GAL-ului</w:t>
            </w:r>
          </w:p>
          <w:p w:rsidR="00454522" w:rsidRDefault="00454522" w:rsidP="00454522">
            <w:pPr>
              <w:pStyle w:val="Default"/>
              <w:numPr>
                <w:ilvl w:val="0"/>
                <w:numId w:val="19"/>
              </w:numPr>
              <w:suppressAutoHyphens/>
              <w:autoSpaceDN/>
              <w:adjustRightInd/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angajează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asigure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întreținerea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mentenanț</w:t>
            </w:r>
            <w:proofErr w:type="gramStart"/>
            <w:r>
              <w:rPr>
                <w:color w:val="auto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pe o </w:t>
            </w:r>
            <w:proofErr w:type="spellStart"/>
            <w:r>
              <w:rPr>
                <w:color w:val="auto"/>
                <w:sz w:val="22"/>
                <w:szCs w:val="22"/>
              </w:rPr>
              <w:t>perioadă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minim 5 ani, de la ultima </w:t>
            </w:r>
            <w:proofErr w:type="spellStart"/>
            <w:r>
              <w:rPr>
                <w:color w:val="auto"/>
                <w:sz w:val="22"/>
                <w:szCs w:val="22"/>
              </w:rPr>
              <w:t>plată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</w:tc>
      </w:tr>
      <w:tr w:rsidR="00454522" w:rsidTr="00972085">
        <w:trPr>
          <w:trHeight w:val="26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  <w:b/>
              </w:rPr>
              <w:lastRenderedPageBreak/>
              <w:t xml:space="preserve">8. </w:t>
            </w:r>
            <w:proofErr w:type="spellStart"/>
            <w:r>
              <w:rPr>
                <w:rFonts w:ascii="Trebuchet MS" w:hAnsi="Trebuchet MS" w:cs="Trebuchet MS"/>
                <w:b/>
              </w:rPr>
              <w:t>Criterii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selecţie</w:t>
            </w:r>
            <w:proofErr w:type="spellEnd"/>
          </w:p>
        </w:tc>
      </w:tr>
      <w:tr w:rsidR="00454522" w:rsidTr="00972085">
        <w:trPr>
          <w:trHeight w:val="413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454522">
            <w:pPr>
              <w:pStyle w:val="Default"/>
              <w:numPr>
                <w:ilvl w:val="0"/>
                <w:numId w:val="22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Experiența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relevantă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în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domeniu</w:t>
            </w:r>
            <w:proofErr w:type="spellEnd"/>
          </w:p>
          <w:p w:rsidR="00454522" w:rsidRDefault="00454522" w:rsidP="00454522">
            <w:pPr>
              <w:pStyle w:val="Default"/>
              <w:numPr>
                <w:ilvl w:val="0"/>
                <w:numId w:val="22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Grup țintă minorități locale (în special minoritatea romă) și grupuri marginalizate</w:t>
            </w:r>
          </w:p>
          <w:p w:rsidR="00454522" w:rsidRDefault="00454522" w:rsidP="00454522">
            <w:pPr>
              <w:pStyle w:val="Default"/>
              <w:numPr>
                <w:ilvl w:val="0"/>
                <w:numId w:val="22"/>
              </w:numPr>
              <w:suppressAutoHyphens/>
              <w:autoSpaceDN/>
              <w:adjustRightInd/>
              <w:spacing w:line="276" w:lineRule="auto"/>
              <w:ind w:left="360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În cazul proiectelor care vizează sau tind spre turism amplasarea proiectului în zone cu potențial turistic ridicat</w:t>
            </w:r>
          </w:p>
        </w:tc>
      </w:tr>
      <w:tr w:rsidR="00454522" w:rsidTr="00972085">
        <w:trPr>
          <w:trHeight w:val="305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  <w:b/>
              </w:rPr>
              <w:t xml:space="preserve">9. </w:t>
            </w:r>
            <w:proofErr w:type="spellStart"/>
            <w:r>
              <w:rPr>
                <w:rFonts w:ascii="Trebuchet MS" w:hAnsi="Trebuchet MS" w:cs="Trebuchet MS"/>
                <w:b/>
              </w:rPr>
              <w:t>Sume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aplicabile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şi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rata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</w:rPr>
              <w:t>sprijinului</w:t>
            </w:r>
            <w:proofErr w:type="spellEnd"/>
          </w:p>
        </w:tc>
      </w:tr>
      <w:tr w:rsidR="00454522" w:rsidTr="00972085">
        <w:trPr>
          <w:trHeight w:val="45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</w:rPr>
              <w:t xml:space="preserve">9.1.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spellEnd"/>
          </w:p>
        </w:tc>
      </w:tr>
      <w:tr w:rsidR="00454522" w:rsidTr="00972085">
        <w:trPr>
          <w:trHeight w:val="305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</w:rPr>
              <w:t xml:space="preserve">La </w:t>
            </w:r>
            <w:proofErr w:type="spellStart"/>
            <w:r>
              <w:rPr>
                <w:rFonts w:ascii="Trebuchet MS" w:hAnsi="Trebuchet MS" w:cs="Trebuchet MS"/>
              </w:rPr>
              <w:t>stabilirea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cuantumului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sprijinului</w:t>
            </w:r>
            <w:proofErr w:type="spellEnd"/>
            <w:r>
              <w:rPr>
                <w:rFonts w:ascii="Trebuchet MS" w:hAnsi="Trebuchet MS" w:cs="Trebuchet MS"/>
              </w:rPr>
              <w:t xml:space="preserve"> am </w:t>
            </w:r>
            <w:proofErr w:type="spellStart"/>
            <w:r>
              <w:rPr>
                <w:rFonts w:ascii="Trebuchet MS" w:hAnsi="Trebuchet MS" w:cs="Trebuchet MS"/>
              </w:rPr>
              <w:t>avut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în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vedere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aspectul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dacă</w:t>
            </w:r>
            <w:proofErr w:type="spellEnd"/>
            <w:r>
              <w:rPr>
                <w:rFonts w:ascii="Trebuchet MS" w:hAnsi="Trebuchet MS" w:cs="Trebuchet MS"/>
              </w:rPr>
              <w:t xml:space="preserve"> un </w:t>
            </w:r>
            <w:proofErr w:type="spellStart"/>
            <w:r>
              <w:rPr>
                <w:rFonts w:ascii="Trebuchet MS" w:hAnsi="Trebuchet MS" w:cs="Trebuchet MS"/>
              </w:rPr>
              <w:t>proiect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deservește</w:t>
            </w:r>
            <w:proofErr w:type="spellEnd"/>
            <w:r>
              <w:rPr>
                <w:rFonts w:ascii="Trebuchet MS" w:hAnsi="Trebuchet MS" w:cs="Trebuchet MS"/>
              </w:rPr>
              <w:t xml:space="preserve"> mai </w:t>
            </w:r>
            <w:proofErr w:type="spellStart"/>
            <w:r>
              <w:rPr>
                <w:rFonts w:ascii="Trebuchet MS" w:hAnsi="Trebuchet MS" w:cs="Trebuchet MS"/>
              </w:rPr>
              <w:t>multe</w:t>
            </w:r>
            <w:proofErr w:type="spellEnd"/>
            <w:r>
              <w:rPr>
                <w:rFonts w:ascii="Trebuchet MS" w:hAnsi="Trebuchet MS" w:cs="Trebuchet MS"/>
              </w:rPr>
              <w:t xml:space="preserve"> UAT-</w:t>
            </w:r>
            <w:proofErr w:type="spellStart"/>
            <w:r>
              <w:rPr>
                <w:rFonts w:ascii="Trebuchet MS" w:hAnsi="Trebuchet MS" w:cs="Trebuchet MS"/>
              </w:rPr>
              <w:t>uri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teritoriu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beneficiarul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obține</w:t>
            </w:r>
            <w:proofErr w:type="spellEnd"/>
            <w:r>
              <w:rPr>
                <w:rFonts w:ascii="Trebuchet MS" w:hAnsi="Trebuchet MS" w:cs="Trebuchet MS"/>
              </w:rPr>
              <w:t xml:space="preserve"> plafonul maxim </w:t>
            </w:r>
            <w:proofErr w:type="spellStart"/>
            <w:r>
              <w:rPr>
                <w:rFonts w:ascii="Trebuchet MS" w:hAnsi="Trebuchet MS" w:cs="Trebuchet MS"/>
              </w:rPr>
              <w:t>al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ajutorului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public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nerambursabil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454522" w:rsidTr="00972085">
        <w:trPr>
          <w:trHeight w:val="42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</w:rPr>
              <w:t xml:space="preserve">9.2. </w:t>
            </w:r>
            <w:proofErr w:type="spellStart"/>
            <w:r>
              <w:rPr>
                <w:rFonts w:ascii="Trebuchet MS" w:hAnsi="Trebuchet MS" w:cs="Trebuchet MS"/>
              </w:rPr>
              <w:t>Sume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aplicabile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şi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rata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sprijinului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</w:tc>
      </w:tr>
      <w:tr w:rsidR="00454522" w:rsidTr="00972085">
        <w:trPr>
          <w:trHeight w:val="80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Intensitatea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sprijinului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 de:</w:t>
            </w:r>
          </w:p>
          <w:p w:rsidR="00454522" w:rsidRDefault="00454522" w:rsidP="00454522">
            <w:pPr>
              <w:pStyle w:val="Default"/>
              <w:numPr>
                <w:ilvl w:val="0"/>
                <w:numId w:val="20"/>
              </w:numPr>
              <w:suppressAutoHyphens/>
              <w:autoSpaceDN/>
              <w:adjustRightInd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investiții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negeneratoare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</w:p>
          <w:p w:rsidR="00454522" w:rsidRDefault="00454522" w:rsidP="00972085">
            <w:pPr>
              <w:pStyle w:val="Default"/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Valoarea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 xml:space="preserve"> maximă 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ro-RO"/>
              </w:rPr>
              <w:t>sprijinului public nerambursabil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  <w:lang w:val="ro-RO"/>
              </w:rPr>
              <w:t>este</w:t>
            </w:r>
            <w:proofErr w:type="gramEnd"/>
            <w:r>
              <w:rPr>
                <w:color w:val="auto"/>
                <w:sz w:val="22"/>
                <w:szCs w:val="22"/>
                <w:lang w:val="ro-RO"/>
              </w:rPr>
              <w:t xml:space="preserve"> de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ro-RO"/>
              </w:rPr>
              <w:t>50</w:t>
            </w:r>
            <w:r>
              <w:rPr>
                <w:color w:val="auto"/>
                <w:sz w:val="22"/>
                <w:szCs w:val="22"/>
              </w:rPr>
              <w:t>.000 Euro</w:t>
            </w:r>
          </w:p>
        </w:tc>
      </w:tr>
      <w:tr w:rsidR="00454522" w:rsidTr="00972085">
        <w:trPr>
          <w:trHeight w:val="215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Default="00454522" w:rsidP="00972085">
            <w:r>
              <w:rPr>
                <w:rFonts w:ascii="Trebuchet MS" w:hAnsi="Trebuchet MS" w:cs="Trebuchet MS"/>
                <w:b/>
              </w:rPr>
              <w:t xml:space="preserve">10. </w:t>
            </w:r>
            <w:proofErr w:type="spellStart"/>
            <w:r>
              <w:rPr>
                <w:rFonts w:ascii="Trebuchet MS" w:hAnsi="Trebuchet MS" w:cs="Trebuchet MS"/>
                <w:b/>
              </w:rPr>
              <w:t>Indicatori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monitorizare</w:t>
            </w:r>
            <w:proofErr w:type="spellEnd"/>
          </w:p>
        </w:tc>
      </w:tr>
      <w:tr w:rsidR="00454522" w:rsidTr="00972085">
        <w:trPr>
          <w:trHeight w:val="44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22" w:rsidRPr="00A84D97" w:rsidRDefault="00454522" w:rsidP="00454522">
            <w:pPr>
              <w:pStyle w:val="Default"/>
              <w:numPr>
                <w:ilvl w:val="0"/>
                <w:numId w:val="22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Populație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netă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care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beneficiază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servicii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infrastructuri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îmbunătățite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min. </w:t>
            </w:r>
            <w:r w:rsidRPr="00A84D97">
              <w:rPr>
                <w:b/>
                <w:bCs/>
                <w:color w:val="auto"/>
                <w:sz w:val="22"/>
                <w:szCs w:val="22"/>
              </w:rPr>
              <w:t xml:space="preserve">1.000 </w:t>
            </w:r>
            <w:proofErr w:type="spellStart"/>
            <w:r w:rsidRPr="00A84D97">
              <w:rPr>
                <w:b/>
                <w:bCs/>
                <w:color w:val="auto"/>
                <w:sz w:val="22"/>
                <w:szCs w:val="22"/>
              </w:rPr>
              <w:t>locuitori</w:t>
            </w:r>
            <w:proofErr w:type="spellEnd"/>
          </w:p>
          <w:p w:rsidR="00454522" w:rsidRDefault="00454522" w:rsidP="00454522">
            <w:pPr>
              <w:pStyle w:val="Default"/>
              <w:numPr>
                <w:ilvl w:val="0"/>
                <w:numId w:val="22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Numărul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ONG-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urilor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care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beneficiază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infrastructura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4D97">
              <w:rPr>
                <w:bCs/>
                <w:color w:val="auto"/>
                <w:sz w:val="22"/>
                <w:szCs w:val="22"/>
              </w:rPr>
              <w:t>îmbunătățită</w:t>
            </w:r>
            <w:proofErr w:type="spellEnd"/>
            <w:r w:rsidRPr="00A84D97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A84D97">
              <w:rPr>
                <w:b/>
                <w:bCs/>
                <w:color w:val="auto"/>
                <w:sz w:val="22"/>
                <w:szCs w:val="22"/>
              </w:rPr>
              <w:t>min. 7</w:t>
            </w:r>
          </w:p>
          <w:p w:rsidR="00454522" w:rsidRPr="00A84D97" w:rsidRDefault="00454522" w:rsidP="00454522">
            <w:pPr>
              <w:pStyle w:val="Default"/>
              <w:numPr>
                <w:ilvl w:val="0"/>
                <w:numId w:val="22"/>
              </w:numPr>
              <w:suppressAutoHyphens/>
              <w:autoSpaceDN/>
              <w:adjustRightInd/>
              <w:spacing w:line="276" w:lineRule="auto"/>
              <w:ind w:left="36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D74A4">
              <w:rPr>
                <w:bCs/>
                <w:color w:val="auto"/>
                <w:sz w:val="22"/>
                <w:szCs w:val="22"/>
              </w:rPr>
              <w:t>Cheltuială</w:t>
            </w:r>
            <w:proofErr w:type="spellEnd"/>
            <w:r w:rsidRPr="009D74A4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D74A4">
              <w:rPr>
                <w:bCs/>
                <w:color w:val="auto"/>
                <w:sz w:val="22"/>
                <w:szCs w:val="22"/>
              </w:rPr>
              <w:t>public</w:t>
            </w:r>
            <w:r>
              <w:rPr>
                <w:bCs/>
                <w:color w:val="auto"/>
                <w:sz w:val="22"/>
                <w:szCs w:val="22"/>
              </w:rPr>
              <w:t>ă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totală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156.000,00 euro</w:t>
            </w:r>
          </w:p>
          <w:p w:rsidR="00454522" w:rsidRDefault="00454522" w:rsidP="00972085"/>
        </w:tc>
      </w:tr>
    </w:tbl>
    <w:p w:rsidR="00614AE4" w:rsidRPr="00614AE4" w:rsidRDefault="00614AE4" w:rsidP="00E31F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4AE4" w:rsidRPr="00614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 w15:restartNumberingAfterBreak="0">
    <w:nsid w:val="02383E03"/>
    <w:multiLevelType w:val="hybridMultilevel"/>
    <w:tmpl w:val="8500E152"/>
    <w:lvl w:ilvl="0" w:tplc="58A65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034EC"/>
    <w:multiLevelType w:val="hybridMultilevel"/>
    <w:tmpl w:val="0E7ADD2C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34F59"/>
    <w:multiLevelType w:val="hybridMultilevel"/>
    <w:tmpl w:val="6E94A9E2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FBD"/>
    <w:multiLevelType w:val="hybridMultilevel"/>
    <w:tmpl w:val="FC305354"/>
    <w:lvl w:ilvl="0" w:tplc="91D29F7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82977"/>
    <w:multiLevelType w:val="hybridMultilevel"/>
    <w:tmpl w:val="0DEA4A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569C3"/>
    <w:multiLevelType w:val="hybridMultilevel"/>
    <w:tmpl w:val="6CF2D90C"/>
    <w:lvl w:ilvl="0" w:tplc="AD228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A66"/>
    <w:multiLevelType w:val="hybridMultilevel"/>
    <w:tmpl w:val="16D427E2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454A6"/>
    <w:multiLevelType w:val="hybridMultilevel"/>
    <w:tmpl w:val="28B648E4"/>
    <w:lvl w:ilvl="0" w:tplc="D0529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90481"/>
    <w:multiLevelType w:val="hybridMultilevel"/>
    <w:tmpl w:val="D72A0918"/>
    <w:lvl w:ilvl="0" w:tplc="2780B1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5A36C0"/>
    <w:multiLevelType w:val="hybridMultilevel"/>
    <w:tmpl w:val="5A90A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77465"/>
    <w:multiLevelType w:val="hybridMultilevel"/>
    <w:tmpl w:val="492810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90A53"/>
    <w:multiLevelType w:val="hybridMultilevel"/>
    <w:tmpl w:val="68AABF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F7498B"/>
    <w:multiLevelType w:val="hybridMultilevel"/>
    <w:tmpl w:val="249A89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6B36CE"/>
    <w:multiLevelType w:val="hybridMultilevel"/>
    <w:tmpl w:val="8DE043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40E95"/>
    <w:multiLevelType w:val="multilevel"/>
    <w:tmpl w:val="4FB8A98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numFmt w:val="bullet"/>
      <w:lvlText w:val="-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51C70255"/>
    <w:multiLevelType w:val="hybridMultilevel"/>
    <w:tmpl w:val="4E240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56F7"/>
    <w:multiLevelType w:val="hybridMultilevel"/>
    <w:tmpl w:val="FD1CC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6676C"/>
    <w:multiLevelType w:val="hybridMultilevel"/>
    <w:tmpl w:val="B990568E"/>
    <w:lvl w:ilvl="0" w:tplc="2780B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2792"/>
    <w:multiLevelType w:val="hybridMultilevel"/>
    <w:tmpl w:val="ABF2F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179B1"/>
    <w:multiLevelType w:val="hybridMultilevel"/>
    <w:tmpl w:val="8DA207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43BEC"/>
    <w:multiLevelType w:val="hybridMultilevel"/>
    <w:tmpl w:val="19845F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7"/>
  </w:num>
  <w:num w:numId="5">
    <w:abstractNumId w:val="24"/>
  </w:num>
  <w:num w:numId="6">
    <w:abstractNumId w:val="13"/>
  </w:num>
  <w:num w:numId="7">
    <w:abstractNumId w:val="16"/>
  </w:num>
  <w:num w:numId="8">
    <w:abstractNumId w:val="21"/>
  </w:num>
  <w:num w:numId="9">
    <w:abstractNumId w:val="8"/>
  </w:num>
  <w:num w:numId="10">
    <w:abstractNumId w:val="23"/>
  </w:num>
  <w:num w:numId="11">
    <w:abstractNumId w:val="26"/>
  </w:num>
  <w:num w:numId="12">
    <w:abstractNumId w:val="14"/>
  </w:num>
  <w:num w:numId="13">
    <w:abstractNumId w:val="12"/>
  </w:num>
  <w:num w:numId="14">
    <w:abstractNumId w:val="19"/>
  </w:num>
  <w:num w:numId="15">
    <w:abstractNumId w:val="10"/>
  </w:num>
  <w:num w:numId="16">
    <w:abstractNumId w:val="25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7"/>
  </w:num>
  <w:num w:numId="25">
    <w:abstractNumId w:val="18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E4"/>
    <w:rsid w:val="00454522"/>
    <w:rsid w:val="004558AA"/>
    <w:rsid w:val="00614AE4"/>
    <w:rsid w:val="00E31F4B"/>
    <w:rsid w:val="00EB11FC"/>
    <w:rsid w:val="00E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2EF5"/>
  <w15:chartTrackingRefBased/>
  <w15:docId w15:val="{2C3B4D89-D00E-4591-AA5D-CE4FC028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4522"/>
    <w:pPr>
      <w:keepNext/>
      <w:keepLines/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14AE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1F4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4545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customStyle="1" w:styleId="Listaszerbekezds1">
    <w:name w:val="Listaszerű bekezdés1"/>
    <w:basedOn w:val="Norml"/>
    <w:rsid w:val="0045452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</dc:creator>
  <cp:keywords/>
  <dc:description/>
  <cp:lastModifiedBy>lazarregio@outlook.com</cp:lastModifiedBy>
  <cp:revision>3</cp:revision>
  <dcterms:created xsi:type="dcterms:W3CDTF">2017-12-05T11:35:00Z</dcterms:created>
  <dcterms:modified xsi:type="dcterms:W3CDTF">2022-08-23T07:50:00Z</dcterms:modified>
</cp:coreProperties>
</file>